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F1E90" w14:textId="77777777" w:rsidR="002A6A76" w:rsidRPr="008A1542" w:rsidRDefault="002A6A76" w:rsidP="002A6A76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8A1542">
        <w:rPr>
          <w:rFonts w:asciiTheme="minorHAnsi" w:hAnsiTheme="minorHAnsi" w:cstheme="minorHAnsi"/>
          <w:b/>
          <w:bCs/>
        </w:rPr>
        <w:t>GÖRÜŞ BİLDİRME FORMU</w:t>
      </w:r>
    </w:p>
    <w:p w14:paraId="2BE422C6" w14:textId="77777777" w:rsidR="002A6A76" w:rsidRPr="008A1542" w:rsidRDefault="002A6A76" w:rsidP="002A6A76">
      <w:pPr>
        <w:spacing w:after="0" w:line="360" w:lineRule="auto"/>
        <w:jc w:val="center"/>
        <w:rPr>
          <w:rFonts w:asciiTheme="minorHAnsi" w:hAnsiTheme="minorHAnsi" w:cstheme="minorHAnsi"/>
          <w:b/>
          <w:bCs/>
        </w:rPr>
      </w:pPr>
    </w:p>
    <w:p w14:paraId="6A16E310" w14:textId="77777777" w:rsidR="00B20F26" w:rsidRPr="008A1542" w:rsidRDefault="002A6A76" w:rsidP="00B20F26">
      <w:pPr>
        <w:spacing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8A1542">
        <w:rPr>
          <w:rFonts w:asciiTheme="minorHAnsi" w:hAnsiTheme="minorHAnsi" w:cstheme="minorHAnsi"/>
          <w:b/>
          <w:bCs/>
        </w:rPr>
        <w:t xml:space="preserve">Frekans Tahsisinden Muaf Telsiz Cihaz ve Sistemlerine ilişkin Teknik Ölçütler </w:t>
      </w:r>
      <w:r w:rsidR="00C61FA8" w:rsidRPr="008A1542">
        <w:rPr>
          <w:rFonts w:asciiTheme="minorHAnsi" w:hAnsiTheme="minorHAnsi" w:cstheme="minorHAnsi"/>
          <w:b/>
          <w:bCs/>
        </w:rPr>
        <w:t xml:space="preserve">Taslağı </w:t>
      </w:r>
    </w:p>
    <w:p w14:paraId="0B11D48D" w14:textId="77777777" w:rsidR="00C61FA8" w:rsidRPr="008A1542" w:rsidRDefault="00C61FA8" w:rsidP="00B20F26">
      <w:pPr>
        <w:spacing w:after="0" w:line="360" w:lineRule="auto"/>
        <w:jc w:val="both"/>
        <w:rPr>
          <w:rFonts w:asciiTheme="minorHAnsi" w:eastAsia="PMingLiU" w:hAnsiTheme="minorHAnsi" w:cstheme="minorHAnsi"/>
          <w:b/>
          <w:bCs/>
          <w:lang w:eastAsia="zh-CN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111"/>
        <w:gridCol w:w="5465"/>
      </w:tblGrid>
      <w:tr w:rsidR="00B20F26" w:rsidRPr="008A1542" w14:paraId="67CE45C3" w14:textId="77777777" w:rsidTr="002C4B60">
        <w:trPr>
          <w:trHeight w:val="267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3E2BD" w14:textId="77777777" w:rsidR="00B20F26" w:rsidRPr="008A1542" w:rsidRDefault="00B20F26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8A1542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Taslağın Geneli Üzerindeki Görüş ve Değerlendirme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E4B60" w14:textId="77777777" w:rsidR="00B20F26" w:rsidRPr="008A1542" w:rsidRDefault="00B20F26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8A1542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Teklif</w:t>
            </w:r>
          </w:p>
        </w:tc>
      </w:tr>
      <w:tr w:rsidR="00B20F26" w:rsidRPr="008A1542" w14:paraId="49B3164C" w14:textId="77777777" w:rsidTr="002C4B60">
        <w:trPr>
          <w:trHeight w:val="521"/>
        </w:trPr>
        <w:tc>
          <w:tcPr>
            <w:tcW w:w="8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4A44" w14:textId="063C2CAE" w:rsidR="00001420" w:rsidRPr="00E25E66" w:rsidRDefault="00CA2B06" w:rsidP="00E25E66">
            <w:pPr>
              <w:spacing w:after="0" w:line="240" w:lineRule="auto"/>
              <w:contextualSpacing/>
              <w:rPr>
                <w:rFonts w:asciiTheme="minorHAnsi" w:hAnsiTheme="minorHAnsi" w:cstheme="minorHAnsi"/>
                <w:b/>
                <w:i/>
                <w:lang w:eastAsia="tr-TR"/>
              </w:rPr>
            </w:pPr>
            <w:r>
              <w:rPr>
                <w:rFonts w:asciiTheme="minorHAnsi" w:hAnsiTheme="minorHAnsi" w:cstheme="minorHAnsi"/>
                <w:b/>
                <w:i/>
                <w:color w:val="FF0000"/>
                <w:lang w:eastAsia="tr-TR"/>
              </w:rPr>
              <w:t>AD SOYAD</w:t>
            </w:r>
            <w:r w:rsidR="00EB1FB3" w:rsidRPr="00EB1FB3">
              <w:rPr>
                <w:rFonts w:asciiTheme="minorHAnsi" w:hAnsiTheme="minorHAnsi" w:cstheme="minorHAnsi"/>
                <w:b/>
                <w:i/>
                <w:color w:val="FF0000"/>
                <w:lang w:eastAsia="tr-TR"/>
              </w:rPr>
              <w:t xml:space="preserve"> – </w:t>
            </w:r>
            <w:r>
              <w:rPr>
                <w:rFonts w:asciiTheme="minorHAnsi" w:hAnsiTheme="minorHAnsi" w:cstheme="minorHAnsi"/>
                <w:b/>
                <w:i/>
                <w:color w:val="FF0000"/>
                <w:lang w:eastAsia="tr-TR"/>
              </w:rPr>
              <w:t>CAGRIISARETI</w:t>
            </w:r>
            <w:r w:rsidR="00EB1FB3" w:rsidRPr="00EB1FB3">
              <w:rPr>
                <w:rFonts w:asciiTheme="minorHAnsi" w:hAnsiTheme="minorHAnsi" w:cstheme="minorHAnsi"/>
                <w:b/>
                <w:i/>
                <w:color w:val="FF0000"/>
                <w:lang w:eastAsia="tr-TR"/>
              </w:rPr>
              <w:t xml:space="preserve"> - </w:t>
            </w:r>
            <w:r>
              <w:rPr>
                <w:rFonts w:asciiTheme="minorHAnsi" w:hAnsiTheme="minorHAnsi" w:cstheme="minorHAnsi"/>
                <w:b/>
                <w:i/>
                <w:color w:val="FF0000"/>
                <w:lang w:eastAsia="tr-TR"/>
              </w:rPr>
              <w:t>SEHIR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F949" w14:textId="77777777" w:rsidR="00B20F26" w:rsidRPr="008A1542" w:rsidRDefault="007446AF">
            <w:pPr>
              <w:pStyle w:val="ListeParagraf"/>
              <w:widowControl w:val="0"/>
              <w:overflowPunct w:val="0"/>
              <w:adjustRightInd w:val="0"/>
              <w:spacing w:after="0" w:line="240" w:lineRule="auto"/>
              <w:ind w:right="10"/>
              <w:jc w:val="both"/>
              <w:rPr>
                <w:rFonts w:asciiTheme="minorHAnsi" w:eastAsia="Times New Roman" w:hAnsiTheme="minorHAnsi" w:cstheme="minorHAnsi"/>
                <w:spacing w:val="-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spacing w:val="-2"/>
                <w:lang w:eastAsia="tr-TR"/>
              </w:rPr>
              <w:t>Değişiklik önerileri</w:t>
            </w:r>
          </w:p>
          <w:p w14:paraId="73100C41" w14:textId="77777777" w:rsidR="00B20F26" w:rsidRPr="008A1542" w:rsidRDefault="00B20F26">
            <w:pPr>
              <w:pStyle w:val="ListeParagraf"/>
              <w:widowControl w:val="0"/>
              <w:overflowPunct w:val="0"/>
              <w:adjustRightInd w:val="0"/>
              <w:spacing w:after="0" w:line="240" w:lineRule="auto"/>
              <w:ind w:right="10"/>
              <w:jc w:val="both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</w:p>
        </w:tc>
      </w:tr>
      <w:tr w:rsidR="00B20F26" w:rsidRPr="008A1542" w14:paraId="55DE2D2D" w14:textId="77777777" w:rsidTr="002C4B60">
        <w:trPr>
          <w:trHeight w:val="26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B35C0" w14:textId="77777777" w:rsidR="00B20F26" w:rsidRPr="008A1542" w:rsidRDefault="00B20F26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8A1542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Taslak Maddesi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A0648" w14:textId="77777777" w:rsidR="00B20F26" w:rsidRPr="008A1542" w:rsidRDefault="00B20F26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8A1542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Görüş ve Değerlendirme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FB1A0" w14:textId="77777777" w:rsidR="00B20F26" w:rsidRPr="008A1542" w:rsidRDefault="00B20F26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8A1542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Teklif</w:t>
            </w:r>
          </w:p>
        </w:tc>
      </w:tr>
      <w:tr w:rsidR="00001420" w:rsidRPr="008A1542" w14:paraId="0762F126" w14:textId="77777777" w:rsidTr="002C4B60">
        <w:trPr>
          <w:trHeight w:val="26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0052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8A1542">
              <w:rPr>
                <w:rFonts w:asciiTheme="minorHAnsi" w:hAnsiTheme="minorHAnsi" w:cstheme="minorHAnsi"/>
              </w:rPr>
              <w:t>Tablo 25: Amatör telsiz cihaz ve sistemleri teknik ölçütleri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35FC" w14:textId="77777777" w:rsidR="00001420" w:rsidRPr="008A1542" w:rsidRDefault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1810-1840 kHz / 1840-</w:t>
            </w:r>
            <w:r w:rsidR="00E25E66">
              <w:rPr>
                <w:rFonts w:asciiTheme="minorHAnsi" w:hAnsiTheme="minorHAnsi" w:cstheme="minorHAnsi"/>
              </w:rPr>
              <w:t>1850</w:t>
            </w:r>
            <w:r w:rsidRPr="008A1542">
              <w:rPr>
                <w:rFonts w:asciiTheme="minorHAnsi" w:hAnsiTheme="minorHAnsi" w:cstheme="minorHAnsi"/>
              </w:rPr>
              <w:t xml:space="preserve"> kHz </w:t>
            </w:r>
          </w:p>
          <w:p w14:paraId="6670E979" w14:textId="77777777" w:rsidR="008A1542" w:rsidRPr="008A1542" w:rsidRDefault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Verici Çıkış Gücü/Verici PEP Gücü</w:t>
            </w:r>
          </w:p>
          <w:p w14:paraId="14B9BA80" w14:textId="77777777" w:rsidR="008A1542" w:rsidRPr="008A1542" w:rsidRDefault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9W  30W</w:t>
            </w:r>
          </w:p>
          <w:p w14:paraId="3434776C" w14:textId="77777777" w:rsidR="008A1542" w:rsidRPr="008A1542" w:rsidRDefault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</w:p>
          <w:p w14:paraId="5BD6498B" w14:textId="77777777" w:rsidR="008A1542" w:rsidRPr="008A1542" w:rsidRDefault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8A1542">
              <w:rPr>
                <w:rFonts w:asciiTheme="minorHAnsi" w:hAnsiTheme="minorHAnsi" w:cstheme="minorHAnsi"/>
              </w:rPr>
              <w:t xml:space="preserve">Iaru R1 üyesi ülkeler içinde bu frekans aralığında güç limiti 400W’tır.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3522" w14:textId="77777777" w:rsidR="00001420" w:rsidRPr="00341BF8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Söz konusu frekans aral</w:t>
            </w:r>
            <w:r w:rsidR="0093044B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ığında çıkış gücünün 400W 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çıkış gücü  olarak gü</w:t>
            </w:r>
            <w:r w:rsidR="0093044B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ncellenmesi önemlidir.</w:t>
            </w:r>
          </w:p>
          <w:p w14:paraId="3C9338D0" w14:textId="77777777" w:rsidR="00176674" w:rsidRDefault="00FB51A9" w:rsidP="00400A13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Bu ban</w:t>
            </w:r>
            <w:r w:rsidR="0093044B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d</w:t>
            </w:r>
            <w:r w:rsidR="0017667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da düşük güçle haberleşme zordur ve 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. 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Avrupa 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ülkeleri 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dahil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birçok ülke,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</w:r>
            <w:r w:rsidRPr="00176674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lang w:eastAsia="tr-TR"/>
              </w:rPr>
              <w:t>1800-2000 kHz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arasını kullanmaktadır.</w:t>
            </w:r>
          </w:p>
          <w:p w14:paraId="76F746C5" w14:textId="77777777" w:rsidR="008A1542" w:rsidRPr="008A1542" w:rsidRDefault="00176674" w:rsidP="00400A13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spacing w:val="-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Türk telsizcilerinde 1800-2000kHz aralığnı tam olarak kullanması ve 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Bandın IARU ITU Uygulamalarına uygun olması önem arzetmektedir.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FB51A9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Biz kısıtlansak da diğer ülkeler  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bandın tamamını 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kullanmaktadır.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>Ayrıca bu band yurtiçi Afet haberleşmesinde önemlidir.</w:t>
            </w:r>
          </w:p>
        </w:tc>
      </w:tr>
      <w:tr w:rsidR="00A82F24" w:rsidRPr="008A1542" w14:paraId="0A73FC98" w14:textId="77777777" w:rsidTr="002C4B60">
        <w:trPr>
          <w:trHeight w:val="11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02C3" w14:textId="77777777" w:rsidR="00A82F24" w:rsidRPr="008A1542" w:rsidRDefault="00A82F24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Tablo-25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E960" w14:textId="77777777" w:rsidR="00A82F24" w:rsidRPr="008A1542" w:rsidRDefault="00E70DAB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3500-3800kHZ</w:t>
            </w:r>
            <w:r>
              <w:rPr>
                <w:rFonts w:asciiTheme="minorHAnsi" w:hAnsiTheme="minorHAnsi" w:cstheme="minorHAnsi"/>
              </w:rPr>
              <w:br/>
              <w:t>Veririci gücü 75W</w:t>
            </w:r>
            <w:r>
              <w:rPr>
                <w:rFonts w:asciiTheme="minorHAnsi" w:hAnsiTheme="minorHAnsi" w:cstheme="minorHAnsi"/>
              </w:rPr>
              <w:br/>
              <w:t>A sınıfı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F7F" w14:textId="77777777" w:rsidR="00A82F24" w:rsidRPr="00341BF8" w:rsidRDefault="00400A13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75 Watt Güç çıkışı b</w:t>
            </w:r>
            <w:r w:rsidR="00E70DAB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u banda  düşük kalmaktadır,</w:t>
            </w:r>
          </w:p>
          <w:p w14:paraId="6359E35B" w14:textId="77777777" w:rsidR="00C54C67" w:rsidRPr="00BD36AA" w:rsidRDefault="00E70DAB" w:rsidP="00400A13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Diğer ülkelerde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6E6EC9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uygulamalarda 1KW Kullana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n</w:t>
            </w:r>
            <w:r w:rsidR="006E6EC9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lar çoğunluktadır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, </w:t>
            </w:r>
            <w:r w:rsidR="006E6EC9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400W PEP olması uygundur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.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 xml:space="preserve"> Ayrıca bu band yurtiçi Afet haberleşmesinde önemlidir</w:t>
            </w:r>
            <w:r w:rsidR="00A356E6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.</w:t>
            </w:r>
          </w:p>
        </w:tc>
      </w:tr>
      <w:tr w:rsidR="00C54C67" w:rsidRPr="008A1542" w14:paraId="3817EE3F" w14:textId="77777777" w:rsidTr="002C4B60">
        <w:trPr>
          <w:trHeight w:val="11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013A" w14:textId="77777777" w:rsidR="00C54C67" w:rsidRDefault="00C54C67" w:rsidP="00C54C67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Tablo-25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1D5C8" w14:textId="77777777" w:rsidR="00C54C67" w:rsidRPr="00C54C67" w:rsidRDefault="00C54C67" w:rsidP="00C54C67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</w:rPr>
            </w:pPr>
          </w:p>
          <w:p w14:paraId="6E23069C" w14:textId="77777777" w:rsidR="00D45891" w:rsidRDefault="003A151A" w:rsidP="00C54C67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Regon 1 uygulaması</w:t>
            </w:r>
            <w:r>
              <w:rPr>
                <w:rFonts w:asciiTheme="minorHAnsi" w:hAnsiTheme="minorHAnsi" w:cstheme="minorHAnsi"/>
              </w:rPr>
              <w:br/>
            </w:r>
            <w:r w:rsidR="00C54C67">
              <w:rPr>
                <w:rFonts w:asciiTheme="minorHAnsi" w:hAnsiTheme="minorHAnsi" w:cstheme="minorHAnsi"/>
              </w:rPr>
              <w:t>5351.5-5366.5 kHz</w:t>
            </w:r>
            <w:r>
              <w:rPr>
                <w:rFonts w:asciiTheme="minorHAnsi" w:hAnsiTheme="minorHAnsi" w:cstheme="minorHAnsi"/>
              </w:rPr>
              <w:t xml:space="preserve"> 15W</w:t>
            </w:r>
          </w:p>
          <w:p w14:paraId="50C18E46" w14:textId="77777777" w:rsidR="00C54C67" w:rsidRDefault="00D45891" w:rsidP="00C54C67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5370</w:t>
            </w:r>
            <w:r w:rsidR="003A151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-</w:t>
            </w:r>
            <w:r w:rsidR="003A151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54</w:t>
            </w:r>
            <w:r w:rsidR="003A151A">
              <w:rPr>
                <w:rFonts w:asciiTheme="minorHAnsi" w:hAnsiTheme="minorHAnsi" w:cstheme="minorHAnsi"/>
              </w:rPr>
              <w:t>50kHz 100W</w:t>
            </w:r>
            <w:r w:rsidR="00C54C67">
              <w:rPr>
                <w:rFonts w:asciiTheme="minorHAnsi" w:hAnsiTheme="minorHAnsi" w:cstheme="minorHAnsi"/>
              </w:rPr>
              <w:br/>
              <w:t>Dünya Acil Haberleşme</w:t>
            </w:r>
          </w:p>
          <w:p w14:paraId="2C7BFA28" w14:textId="77777777" w:rsidR="00C54C67" w:rsidRPr="00C54C67" w:rsidRDefault="00C54C67" w:rsidP="00C54C67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cstheme="minorHAnsi"/>
              </w:rPr>
            </w:pPr>
            <w:r>
              <w:rPr>
                <w:rFonts w:asciiTheme="minorHAnsi" w:hAnsiTheme="minorHAnsi" w:cstheme="minorHAnsi"/>
              </w:rPr>
              <w:t>Frekansı</w:t>
            </w:r>
            <w:r w:rsidR="003B3246">
              <w:rPr>
                <w:rFonts w:asciiTheme="minorHAnsi" w:hAnsiTheme="minorHAnsi" w:cstheme="minorHAnsi"/>
              </w:rPr>
              <w:br/>
              <w:t>Verici gücü 15 Wat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AB7F" w14:textId="77777777" w:rsidR="00C54C67" w:rsidRPr="00341BF8" w:rsidRDefault="00C54C67" w:rsidP="00C54C67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Bu frekanslarda 15 Watt güç çok düşüktür bu band aralığı dünyada günün her saatinde, gece - gündüz propagasyona bağlı olmadan Acil haberleşme yapılabilen frekanstır ve bu maksatla ihdas edilmiştir. Verici çıkış gücünün </w:t>
            </w:r>
            <w:r w:rsidRPr="00223AA7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lang w:eastAsia="tr-TR"/>
              </w:rPr>
              <w:t>standart 100W olarak</w:t>
            </w:r>
            <w:r w:rsidRPr="00C54C67">
              <w:rPr>
                <w:rFonts w:asciiTheme="minorHAnsi" w:eastAsia="Times New Roman" w:hAnsiTheme="minorHAnsi" w:cstheme="minorHAnsi"/>
                <w:b/>
                <w:spacing w:val="-2"/>
                <w:sz w:val="28"/>
                <w:szCs w:val="28"/>
                <w:lang w:eastAsia="tr-TR"/>
              </w:rPr>
              <w:t xml:space="preserve"> </w:t>
            </w:r>
            <w:r w:rsidRPr="00223AA7">
              <w:rPr>
                <w:rFonts w:asciiTheme="minorHAnsi" w:eastAsia="Times New Roman" w:hAnsiTheme="minorHAnsi" w:cstheme="minorHAnsi"/>
                <w:b/>
                <w:spacing w:val="-2"/>
                <w:sz w:val="24"/>
                <w:szCs w:val="24"/>
                <w:lang w:eastAsia="tr-TR"/>
              </w:rPr>
              <w:t>yazılması</w:t>
            </w:r>
            <w:r w:rsidRPr="00C54C67">
              <w:rPr>
                <w:rFonts w:asciiTheme="minorHAnsi" w:eastAsia="Times New Roman" w:hAnsiTheme="minorHAnsi" w:cstheme="minorHAnsi"/>
                <w:b/>
                <w:spacing w:val="-2"/>
                <w:sz w:val="28"/>
                <w:szCs w:val="28"/>
                <w:lang w:eastAsia="tr-TR"/>
              </w:rPr>
              <w:t xml:space="preserve"> </w:t>
            </w:r>
            <w:r w:rsidRPr="00223AA7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faydalıdır</w:t>
            </w:r>
            <w:r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, zaten cihazlar 100 Wattır.Uygulamada bir çok Avrupa ülkesi 100 wat a izin vermektedir.ITU 500 Wat ı aşmayın der.</w:t>
            </w:r>
          </w:p>
        </w:tc>
      </w:tr>
      <w:tr w:rsidR="008A1542" w:rsidRPr="008A1542" w14:paraId="4B743865" w14:textId="77777777" w:rsidTr="002C4B60">
        <w:trPr>
          <w:trHeight w:val="170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A8D4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8A1542">
              <w:rPr>
                <w:rFonts w:asciiTheme="minorHAnsi" w:hAnsiTheme="minorHAnsi" w:cstheme="minorHAnsi"/>
              </w:rPr>
              <w:lastRenderedPageBreak/>
              <w:t>Tablo 25: Amatör telsiz cihaz ve sistemleri teknik ölçütleri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7A80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7000 -7200 kHz</w:t>
            </w:r>
          </w:p>
          <w:p w14:paraId="7CF03DCA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Verici Çıkış Gücü/Verici PEP Gücü</w:t>
            </w:r>
          </w:p>
          <w:p w14:paraId="277F5E8D" w14:textId="77777777" w:rsidR="008A1542" w:rsidRPr="008A1542" w:rsidRDefault="00E129E1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75W  </w:t>
            </w:r>
          </w:p>
          <w:p w14:paraId="5C5B1DEA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</w:p>
          <w:p w14:paraId="2E9779EB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8A1542">
              <w:rPr>
                <w:rFonts w:asciiTheme="minorHAnsi" w:hAnsiTheme="minorHAnsi" w:cstheme="minorHAnsi"/>
              </w:rPr>
              <w:t>Iaru R1 üyesi ülkeler içinde bu frekans aralığında güç limiti 400W’tır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F308" w14:textId="77777777" w:rsidR="00400A13" w:rsidRPr="00341BF8" w:rsidRDefault="008A1542" w:rsidP="00A356E6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“Söz konusu frekans aralığında çıkış gücünün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400W </w:t>
            </w:r>
            <w:r w:rsidR="00E129E1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PEP 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verici çıkış gücü olarak güncellenmesi”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 xml:space="preserve">75W kullanıldığında diğer istasyonlar arasında Türk istasyonları </w:t>
            </w:r>
            <w:r w:rsidR="00106B24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haberleşme zorluğu çekiyor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.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>Ayrıca bu Band yurtiçi Afet haberleşmesinde önemlidir.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</w:r>
            <w:r w:rsidR="00A356E6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Birçok yabancı istasyonlar 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1kWA </w:t>
            </w:r>
            <w:r w:rsidR="00A356E6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üstü </w:t>
            </w:r>
            <w:r w:rsidR="00400A13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kullanmaktadır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>Cihaz standardının 100 Wat üretildiği malumunuzdur.</w:t>
            </w:r>
          </w:p>
        </w:tc>
      </w:tr>
      <w:tr w:rsidR="008A1542" w:rsidRPr="008A1542" w14:paraId="3628B749" w14:textId="77777777" w:rsidTr="002C4B60">
        <w:trPr>
          <w:trHeight w:val="195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743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8A1542">
              <w:rPr>
                <w:rFonts w:asciiTheme="minorHAnsi" w:hAnsiTheme="minorHAnsi" w:cstheme="minorHAnsi"/>
              </w:rPr>
              <w:t>Tablo 25: Amatör telsiz cihaz ve sistemleri teknik ölçütleri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A56BE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7000 -7200 kHz</w:t>
            </w:r>
          </w:p>
          <w:p w14:paraId="777EBC51" w14:textId="77777777" w:rsidR="008A1542" w:rsidRPr="00A356E6" w:rsidRDefault="008A1542" w:rsidP="00A356E6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Eğitim ve özendirme amacı ile B sınıfı amatör telsizcilik belgesi sahibi olan telsizciler, kendi imalatları olan ve en fazla 5 W çıkış gücündeki bir cihaz ile HF bandında 7000 -7100 kHz frekans bandında haberleşme yapabilecektir.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7506" w14:textId="77777777" w:rsidR="008A1542" w:rsidRPr="00341BF8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“B sınıfı radyo amatörleri için, 7.000-7.100 kHz aralığında Verici PEP gücü limitinin 100W olarak güncellenmesi”</w:t>
            </w:r>
          </w:p>
          <w:p w14:paraId="56953BEC" w14:textId="77777777" w:rsidR="008A1542" w:rsidRPr="008A1542" w:rsidRDefault="008A1542" w:rsidP="00E129E1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Tavsiye edilmektedir.</w:t>
            </w:r>
            <w:r w:rsidR="00E129E1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>Bu band yurtiçi Afet haberleşmesinde önemlidir.</w:t>
            </w:r>
            <w:r w:rsidR="00E129E1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>Afet  sonrası B sınıfı</w:t>
            </w:r>
            <w:r w:rsidR="001F0808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operatörlere</w:t>
            </w:r>
            <w:r w:rsidR="00E129E1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ve </w:t>
            </w:r>
            <w:r w:rsidR="000013DA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</w:r>
            <w:r w:rsidR="00E129E1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yüksek güce </w:t>
            </w:r>
            <w:r w:rsidR="00916B65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ihtiyac olabilir.</w:t>
            </w:r>
            <w:r w:rsidR="000013DA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>Düşük güç kullanımı kontrolu zordur.</w:t>
            </w:r>
          </w:p>
        </w:tc>
      </w:tr>
      <w:tr w:rsidR="008A1542" w:rsidRPr="008A1542" w14:paraId="62951F0B" w14:textId="77777777" w:rsidTr="002C4B60">
        <w:trPr>
          <w:trHeight w:val="241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2A3C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Tablo 25: Amatör telsiz cihaz ve sistemleri teknik ölçütleri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1AEA" w14:textId="77777777" w:rsidR="008A1542" w:rsidRPr="008A1542" w:rsidRDefault="008A1542" w:rsidP="00A356E6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50 – 52 MHz</w:t>
            </w:r>
            <w:r w:rsidR="00916B65">
              <w:rPr>
                <w:rFonts w:asciiTheme="minorHAnsi" w:hAnsiTheme="minorHAnsi" w:cstheme="minorHAnsi"/>
              </w:rPr>
              <w:br/>
            </w:r>
            <w:r w:rsidRPr="008A1542">
              <w:rPr>
                <w:rFonts w:asciiTheme="minorHAnsi" w:hAnsiTheme="minorHAnsi" w:cstheme="minorHAnsi"/>
              </w:rPr>
              <w:t>Verici Çıkış Gücü/Verici PEP Gücü</w:t>
            </w:r>
            <w:r w:rsidR="00916B65">
              <w:rPr>
                <w:rFonts w:asciiTheme="minorHAnsi" w:hAnsiTheme="minorHAnsi" w:cstheme="minorHAnsi"/>
              </w:rPr>
              <w:t xml:space="preserve"> 75W  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31B0" w14:textId="77777777" w:rsidR="008A1542" w:rsidRPr="00341BF8" w:rsidRDefault="008A1542" w:rsidP="00916B65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50 -52Mhz frekans aralığında</w:t>
            </w:r>
            <w:r w:rsidR="00916B65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Pr="00341BF8">
              <w:rPr>
                <w:rFonts w:asciiTheme="minorHAnsi" w:hAnsiTheme="minorHAnsi" w:cstheme="minorHAnsi"/>
                <w:b/>
              </w:rPr>
              <w:t>Verici Çıkış Gücü</w:t>
            </w:r>
          </w:p>
          <w:p w14:paraId="5C850CFF" w14:textId="77777777" w:rsidR="00916B65" w:rsidRPr="00341BF8" w:rsidRDefault="00D55C2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  <w:b/>
              </w:rPr>
            </w:pPr>
            <w:r w:rsidRPr="00341BF8">
              <w:rPr>
                <w:rFonts w:asciiTheme="minorHAnsi" w:hAnsiTheme="minorHAnsi" w:cstheme="minorHAnsi"/>
                <w:b/>
              </w:rPr>
              <w:t xml:space="preserve">  400W </w:t>
            </w:r>
            <w:r w:rsidR="00916B65" w:rsidRPr="00341BF8">
              <w:rPr>
                <w:rFonts w:asciiTheme="minorHAnsi" w:hAnsiTheme="minorHAnsi" w:cstheme="minorHAnsi"/>
                <w:b/>
              </w:rPr>
              <w:t>PEP olm</w:t>
            </w:r>
            <w:r w:rsidR="001F0808" w:rsidRPr="00341BF8">
              <w:rPr>
                <w:rFonts w:asciiTheme="minorHAnsi" w:hAnsiTheme="minorHAnsi" w:cstheme="minorHAnsi"/>
                <w:b/>
              </w:rPr>
              <w:t>a</w:t>
            </w:r>
            <w:r w:rsidR="00916B65" w:rsidRPr="00341BF8">
              <w:rPr>
                <w:rFonts w:asciiTheme="minorHAnsi" w:hAnsiTheme="minorHAnsi" w:cstheme="minorHAnsi"/>
                <w:b/>
              </w:rPr>
              <w:t>lıdır</w:t>
            </w:r>
            <w:r w:rsidRPr="00341BF8">
              <w:rPr>
                <w:rFonts w:asciiTheme="minorHAnsi" w:hAnsiTheme="minorHAnsi" w:cstheme="minorHAnsi"/>
                <w:b/>
              </w:rPr>
              <w:t>.</w:t>
            </w:r>
            <w:r w:rsidRPr="00341BF8">
              <w:rPr>
                <w:rFonts w:asciiTheme="minorHAnsi" w:hAnsiTheme="minorHAnsi" w:cstheme="minorHAnsi"/>
                <w:b/>
              </w:rPr>
              <w:br/>
              <w:t>Bu b</w:t>
            </w:r>
            <w:r w:rsidR="00916B65" w:rsidRPr="00341BF8">
              <w:rPr>
                <w:rFonts w:asciiTheme="minorHAnsi" w:hAnsiTheme="minorHAnsi" w:cstheme="minorHAnsi"/>
                <w:b/>
              </w:rPr>
              <w:t>and da Pratikte</w:t>
            </w:r>
            <w:r w:rsidRPr="00341BF8">
              <w:rPr>
                <w:rFonts w:asciiTheme="minorHAnsi" w:hAnsiTheme="minorHAnsi" w:cstheme="minorHAnsi"/>
                <w:b/>
              </w:rPr>
              <w:t xml:space="preserve"> komşu ülkeler 1kWA</w:t>
            </w:r>
            <w:r w:rsidR="00916B65" w:rsidRPr="00341BF8">
              <w:rPr>
                <w:rFonts w:asciiTheme="minorHAnsi" w:hAnsiTheme="minorHAnsi" w:cstheme="minorHAnsi"/>
                <w:b/>
              </w:rPr>
              <w:t xml:space="preserve"> ya kadar</w:t>
            </w:r>
            <w:r w:rsidR="00916B65" w:rsidRPr="00341BF8">
              <w:rPr>
                <w:rFonts w:asciiTheme="minorHAnsi" w:hAnsiTheme="minorHAnsi" w:cstheme="minorHAnsi"/>
                <w:b/>
              </w:rPr>
              <w:br/>
            </w:r>
            <w:r w:rsidRPr="00341BF8">
              <w:rPr>
                <w:rFonts w:asciiTheme="minorHAnsi" w:hAnsiTheme="minorHAnsi" w:cstheme="minorHAnsi"/>
                <w:b/>
              </w:rPr>
              <w:t xml:space="preserve"> çıkış gücü kullanabil</w:t>
            </w:r>
            <w:r w:rsidR="006048E7">
              <w:rPr>
                <w:rFonts w:asciiTheme="minorHAnsi" w:hAnsiTheme="minorHAnsi" w:cstheme="minorHAnsi"/>
                <w:b/>
              </w:rPr>
              <w:t xml:space="preserve">mektedir. Türkiyede kısıtlama yapsak da </w:t>
            </w:r>
            <w:r w:rsidR="00916B65" w:rsidRPr="00341BF8">
              <w:rPr>
                <w:rFonts w:asciiTheme="minorHAnsi" w:hAnsiTheme="minorHAnsi" w:cstheme="minorHAnsi"/>
                <w:b/>
              </w:rPr>
              <w:t>sı</w:t>
            </w:r>
            <w:r w:rsidRPr="00341BF8">
              <w:rPr>
                <w:rFonts w:asciiTheme="minorHAnsi" w:hAnsiTheme="minorHAnsi" w:cstheme="minorHAnsi"/>
                <w:b/>
              </w:rPr>
              <w:t>nırlarımız</w:t>
            </w:r>
            <w:r w:rsidR="006048E7">
              <w:rPr>
                <w:rFonts w:asciiTheme="minorHAnsi" w:hAnsiTheme="minorHAnsi" w:cstheme="minorHAnsi"/>
                <w:b/>
              </w:rPr>
              <w:t>ın dışından</w:t>
            </w:r>
            <w:r w:rsidRPr="00341BF8">
              <w:rPr>
                <w:rFonts w:asciiTheme="minorHAnsi" w:hAnsiTheme="minorHAnsi" w:cstheme="minorHAnsi"/>
                <w:b/>
              </w:rPr>
              <w:t xml:space="preserve"> gelen Enterferansı engelleyeme</w:t>
            </w:r>
            <w:r w:rsidR="00916B65" w:rsidRPr="00341BF8">
              <w:rPr>
                <w:rFonts w:asciiTheme="minorHAnsi" w:hAnsiTheme="minorHAnsi" w:cstheme="minorHAnsi"/>
                <w:b/>
              </w:rPr>
              <w:t>yiz.</w:t>
            </w:r>
          </w:p>
          <w:p w14:paraId="7750673A" w14:textId="77777777" w:rsidR="008A1542" w:rsidRPr="00341BF8" w:rsidRDefault="00D55C22" w:rsidP="00A356E6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  <w:b/>
              </w:rPr>
            </w:pPr>
            <w:r w:rsidRPr="00341BF8">
              <w:rPr>
                <w:rFonts w:asciiTheme="minorHAnsi" w:hAnsiTheme="minorHAnsi" w:cstheme="minorHAnsi"/>
                <w:b/>
              </w:rPr>
              <w:t>50 MHz bandı Propagasyona açıktır.</w:t>
            </w:r>
            <w:r w:rsidR="00916B65" w:rsidRPr="00341BF8">
              <w:rPr>
                <w:rFonts w:asciiTheme="minorHAnsi" w:hAnsiTheme="minorHAnsi" w:cstheme="minorHAnsi"/>
                <w:b/>
              </w:rPr>
              <w:br/>
            </w:r>
            <w:r w:rsidR="00916B65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Ayrıca bu band yurtiçi Afet haberleşmesinde VHF ve UHF den daha kararlı haberleşme imkanı sağlar.</w:t>
            </w:r>
          </w:p>
        </w:tc>
      </w:tr>
      <w:tr w:rsidR="008A1542" w:rsidRPr="008A1542" w14:paraId="1686355A" w14:textId="77777777" w:rsidTr="002C4B60">
        <w:trPr>
          <w:trHeight w:val="11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D652" w14:textId="77777777" w:rsidR="008A1542" w:rsidRPr="008A1542" w:rsidRDefault="002E369F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Tablo 25: Amatör telsiz cihaz ve sistemleri teknik ölçütleri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BBCA" w14:textId="77777777" w:rsidR="008A1542" w:rsidRPr="008A1542" w:rsidRDefault="002E369F" w:rsidP="00236951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430-440 MHz UHF Bandı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1078" w14:textId="77777777" w:rsidR="008A1542" w:rsidRDefault="002E369F" w:rsidP="00047E5B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Bu Band da Amatör serv</w:t>
            </w:r>
            <w:r w:rsidR="00A356E6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isler dışında birçok Ticari Röle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6048E7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Data, ve Taksi - 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t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icari çağrı frekansları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tahsisleri </w:t>
            </w:r>
            <w:r w:rsidR="00BD36A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mevcuttur. 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R1 Bölgesinde o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l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mamız nedeniyle ve diğer sınır ülkelerde bu frekanslar Sadece 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Amatör Servisler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de ku</w:t>
            </w:r>
            <w:r w:rsidR="00BD36A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llanıldığından, k</w:t>
            </w:r>
            <w:r w:rsidR="006048E7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omşu ülkelerde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ki amatör servislere enterferans yapmaktadır, aynı şekilde diğer ülkeler</w:t>
            </w:r>
            <w:r w:rsidR="00A356E6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de amatör kullanımlar Türkiyede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ki Servislere enterferans yapmaktadır. 440 MHz üstünde boşalan </w:t>
            </w:r>
            <w:r w:rsidR="00A356E6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Ticari frekanslara Amatör band içindeki Ticari veya resmi Frekansların aktarılması</w:t>
            </w:r>
            <w:r w:rsid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,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047E5B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Dünya ve R1 standartlarına uymamız </w:t>
            </w:r>
            <w:r w:rsidR="00047E5B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lastRenderedPageBreak/>
              <w:t>tavsiyedir.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>Komşu ülk</w:t>
            </w:r>
            <w:r w:rsidR="00BD36A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e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ler: Yunanistan, Bulgaristan, Romanya,Güney Kıbrıs,  Türkiyedeki Standart dışı UHF bandı kullanımdan kaynaklanan sıkıntılarını uluslararası platformlarda </w:t>
            </w:r>
            <w:r w:rsidR="00BD36A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gündeme getirmektedirler</w:t>
            </w:r>
            <w:r w:rsidR="00D0363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.</w:t>
            </w:r>
          </w:p>
          <w:p w14:paraId="4B6FAE80" w14:textId="77777777" w:rsidR="00341BF8" w:rsidRPr="00341BF8" w:rsidRDefault="00341BF8" w:rsidP="00047E5B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</w:p>
        </w:tc>
      </w:tr>
      <w:tr w:rsidR="008A1542" w:rsidRPr="008A1542" w14:paraId="10E5E750" w14:textId="77777777" w:rsidTr="002C4B60">
        <w:trPr>
          <w:trHeight w:val="13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70CC" w14:textId="77777777" w:rsidR="00341BF8" w:rsidRDefault="00341BF8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</w:p>
          <w:p w14:paraId="2629174E" w14:textId="77777777" w:rsidR="00341BF8" w:rsidRDefault="00341BF8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</w:p>
          <w:p w14:paraId="116FD2F8" w14:textId="77777777" w:rsidR="00341BF8" w:rsidRDefault="00341BF8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</w:p>
          <w:p w14:paraId="09FD4073" w14:textId="77777777" w:rsidR="00341BF8" w:rsidRDefault="00341BF8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</w:p>
          <w:p w14:paraId="539E32C6" w14:textId="77777777" w:rsidR="00341BF8" w:rsidRDefault="00341BF8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</w:p>
          <w:p w14:paraId="770EBC34" w14:textId="77777777" w:rsidR="00341BF8" w:rsidRDefault="00341BF8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</w:p>
          <w:p w14:paraId="0B5714C6" w14:textId="77777777" w:rsidR="00341BF8" w:rsidRDefault="00341BF8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</w:p>
          <w:p w14:paraId="26C4A967" w14:textId="77777777" w:rsidR="00341BF8" w:rsidRDefault="00341BF8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</w:p>
          <w:p w14:paraId="61A3941B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Tablo 25: Amatör telsiz cihaz ve sistemleri teknik ölçütleri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B8C8" w14:textId="77777777" w:rsidR="00341BF8" w:rsidRDefault="00341BF8" w:rsidP="00236951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</w:p>
          <w:p w14:paraId="4E3EBCDA" w14:textId="77777777" w:rsidR="00236951" w:rsidRPr="008A1542" w:rsidRDefault="00341BF8" w:rsidP="00341BF8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</w:t>
            </w:r>
            <w:r w:rsidR="004415E8">
              <w:rPr>
                <w:rFonts w:asciiTheme="minorHAnsi" w:hAnsiTheme="minorHAnsi" w:cstheme="minorHAnsi"/>
              </w:rPr>
              <w:br/>
            </w:r>
            <w:r w:rsidR="004415E8">
              <w:rPr>
                <w:rFonts w:asciiTheme="minorHAnsi" w:hAnsiTheme="minorHAnsi" w:cstheme="minorHAnsi"/>
              </w:rPr>
              <w:br/>
              <w:t xml:space="preserve">                        </w:t>
            </w:r>
            <w:r w:rsidR="0079248D">
              <w:rPr>
                <w:rFonts w:asciiTheme="minorHAnsi" w:hAnsiTheme="minorHAnsi" w:cstheme="minorHAnsi"/>
              </w:rPr>
              <w:t>2300-2450</w:t>
            </w:r>
            <w:r w:rsidR="00236951" w:rsidRPr="008A1542">
              <w:rPr>
                <w:rFonts w:asciiTheme="minorHAnsi" w:hAnsiTheme="minorHAnsi" w:cstheme="minorHAnsi"/>
              </w:rPr>
              <w:t xml:space="preserve"> MHz</w:t>
            </w:r>
          </w:p>
          <w:p w14:paraId="57DFDC1F" w14:textId="77777777" w:rsidR="00236951" w:rsidRPr="008A1542" w:rsidRDefault="00236951" w:rsidP="00236951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 xml:space="preserve">Frekans aralığı, tüm dünyada uydu haberleşmesi ve Karasal afet data haberleşmesi için kullanılmaktadır. </w:t>
            </w:r>
          </w:p>
          <w:p w14:paraId="420C84CD" w14:textId="77777777" w:rsidR="0079248D" w:rsidRDefault="00236951" w:rsidP="00236951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 xml:space="preserve">Bu amaçla bu frekans bandının sadece Uydu haberleşme ve afet haberleşmesi maksadı ile </w:t>
            </w:r>
            <w:r w:rsidR="00F0461F">
              <w:rPr>
                <w:rFonts w:asciiTheme="minorHAnsi" w:hAnsiTheme="minorHAnsi" w:cstheme="minorHAnsi"/>
              </w:rPr>
              <w:t>kullanılmak üzere Açılması Elzemdir.</w:t>
            </w:r>
          </w:p>
          <w:p w14:paraId="754F89C1" w14:textId="77777777" w:rsidR="00236951" w:rsidRDefault="00F0461F" w:rsidP="00236951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  <w:p w14:paraId="0764B6CA" w14:textId="77777777" w:rsidR="00236951" w:rsidRDefault="00236951" w:rsidP="00236951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</w:p>
          <w:p w14:paraId="3DC518A8" w14:textId="77777777" w:rsidR="00236951" w:rsidRDefault="00236951" w:rsidP="00236951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</w:p>
          <w:p w14:paraId="4D4FC47D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D8FD" w14:textId="77777777" w:rsidR="00341BF8" w:rsidRPr="00A63A3A" w:rsidRDefault="004415E8" w:rsidP="00236951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         </w:t>
            </w:r>
            <w:r w:rsidR="006048E7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     2300-2450 MHz  IARU Band p</w:t>
            </w:r>
            <w:r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lanı</w:t>
            </w:r>
            <w:r w:rsidR="006048E7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g</w:t>
            </w:r>
            <w:r w:rsid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ereği</w:t>
            </w:r>
            <w:r w:rsid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 xml:space="preserve">Türkiye de bu bandın Amatör servislere IARU R1 Band planına uygun </w:t>
            </w:r>
            <w:r w:rsidR="00A63A3A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olarak  tamamen açılması ve </w:t>
            </w:r>
          </w:p>
          <w:p w14:paraId="7B5E12C3" w14:textId="77777777" w:rsidR="00236951" w:rsidRPr="00A63A3A" w:rsidRDefault="00236951" w:rsidP="00236951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2400-2402 MHz a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rasının </w:t>
            </w:r>
            <w:r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5W ’a kadar A1A – J2E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olarak</w:t>
            </w:r>
            <w:r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>uydu haberleşmesi  için Türk Amatör Telsizcilere açılması</w:t>
            </w:r>
            <w:r w:rsidR="0067730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çok önemlidir. </w:t>
            </w:r>
            <w:r w:rsid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</w:r>
            <w:r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Halen Hizmet vermekte olan Katar uydusu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Hailsat ü</w:t>
            </w:r>
            <w:r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zerinde bulunan sabit Amatör 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QO-100 aktar</w:t>
            </w:r>
            <w:r w:rsidR="00F0461F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ıcısının</w:t>
            </w:r>
            <w:r w:rsidR="0067730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1F080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UPLİNK Frekans a</w:t>
            </w:r>
            <w:r w:rsidR="00F0461F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ralığının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Türk </w:t>
            </w:r>
            <w:r w:rsidR="00F0461F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Amatör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T</w:t>
            </w:r>
            <w:r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elsizcileri tarafından kullanılmasına izin verilmesi</w:t>
            </w:r>
            <w:r w:rsidR="00E953B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3D7B1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E953B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ivedilikle tavsiyemdir.</w:t>
            </w:r>
          </w:p>
          <w:p w14:paraId="6302AD29" w14:textId="77777777" w:rsidR="0079248D" w:rsidRDefault="002E369F" w:rsidP="00CF5F7A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Bu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Geostasyone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r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TV uydusunun üzerine yerleştirilen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ilk A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matör </w:t>
            </w:r>
            <w:r w:rsidR="00E953B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sabit konumlu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Telsiz </w:t>
            </w:r>
            <w:r w:rsidR="00E953B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aktarıcı</w:t>
            </w:r>
            <w:r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sı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halen dünyanın %49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na hizmet vermektedir.</w:t>
            </w:r>
            <w:r w:rsid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</w:r>
            <w:r w:rsidR="008679A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20 yıllık ömründen 18 yıl</w:t>
            </w:r>
            <w:r w:rsidR="0067730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ı</w:t>
            </w:r>
            <w:r w:rsidR="008679A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kalmıştır.</w:t>
            </w:r>
            <w:r w:rsid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U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fak bir TV çanak antenle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sadece 5 Wat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çıkış gücüyle mükemmel </w:t>
            </w:r>
            <w:r w:rsidR="00F0461F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kesintisiz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haberleşme yapılabilmektedir.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>U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ydunun 10 GHz downli</w:t>
            </w:r>
            <w:r w:rsidR="008679A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nk </w:t>
            </w:r>
            <w:r w:rsidR="00CF5F7A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dinleme</w:t>
            </w:r>
            <w:r w:rsidR="008679A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si</w:t>
            </w:r>
            <w:r w:rsidR="00CF5F7A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zaten 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a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matörlere açıktır.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S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adece up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link için giriş frekans aralığı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nın serbest kullanıma açılması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, o</w:t>
            </w:r>
            <w:r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lağan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üstü</w:t>
            </w:r>
            <w:r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hal  ve  a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fet haberleşmesinde</w:t>
            </w:r>
            <w:r w:rsidR="00CF5F7A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kesintisiz olarak haberleşmeyi 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sağlar.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 xml:space="preserve">Türkiye dışında uyduyu gören ülkelerin tümünde </w:t>
            </w:r>
            <w:r w:rsidR="00CF5F7A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Amatör T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elsizciler b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u uyduyu istedikleri </w:t>
            </w:r>
            <w:r w:rsidR="00A346F4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gibi kullanabilmektedirler.</w:t>
            </w:r>
            <w:r w:rsidR="00236951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 xml:space="preserve">Ayrıca 2400 </w:t>
            </w:r>
            <w:r w:rsidR="008679A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MHz 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bandının cıvarında çalışan kayıtlı veya kayıts</w:t>
            </w:r>
            <w:r w:rsidR="00EC499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ı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z kullanımlar malum</w:t>
            </w:r>
            <w:r w:rsidR="00516D73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unuz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olduğu üzere mevcuttur</w:t>
            </w:r>
            <w:r w:rsidR="008679A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ve bu sistemleri Monitor etmek - denetlemek de zordur. </w:t>
            </w:r>
            <w:r w:rsidR="00CF5F7A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 xml:space="preserve">Bandın 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Amatörlere açılması ayrıca otokontrol 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lastRenderedPageBreak/>
              <w:t>mekanizmasını da çalıştırabilir.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 xml:space="preserve">Uydu haberleşmesinde çanak antenle uyduya yönelik Anten sistemi </w:t>
            </w:r>
            <w:r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dar açılı </w:t>
            </w:r>
            <w:r w:rsidR="00B648E7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ışımasını gökyüzüne yapacaktır.</w:t>
            </w:r>
            <w:r w:rsidR="008679A8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</w:r>
            <w:r w:rsidR="00CF5F7A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Filtreli daraltılmış yayında Enterferans söz konusu değildir.</w:t>
            </w:r>
          </w:p>
          <w:p w14:paraId="78B9F481" w14:textId="77777777" w:rsidR="00341BF8" w:rsidRPr="00A63A3A" w:rsidRDefault="0079248D" w:rsidP="00CF5F7A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AFET HABERLEŞMESİNDE Türkiye için çok önemlidir.</w:t>
            </w:r>
            <w:r w:rsidR="002E369F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</w:r>
            <w:r w:rsidR="00442ACD" w:rsidRP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Tavsiyedir..</w:t>
            </w:r>
          </w:p>
        </w:tc>
      </w:tr>
      <w:tr w:rsidR="008A1542" w:rsidRPr="008A1542" w14:paraId="2B583601" w14:textId="77777777" w:rsidTr="002C4B60">
        <w:trPr>
          <w:trHeight w:val="141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91A5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lastRenderedPageBreak/>
              <w:t>Tablo 25: Amatör telsiz cihaz ve sistemleri teknik ölçütleri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B5FDF" w14:textId="77777777" w:rsidR="00236951" w:rsidRDefault="00236951" w:rsidP="00236951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 xml:space="preserve">10450-10452 MHz </w:t>
            </w:r>
          </w:p>
          <w:p w14:paraId="3929F4A9" w14:textId="77777777" w:rsidR="00CF5F7A" w:rsidRPr="008A1542" w:rsidRDefault="00236951" w:rsidP="00106B24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 xml:space="preserve">frekans bandının tüm dünyada kullanılan </w:t>
            </w:r>
            <w:r>
              <w:rPr>
                <w:rFonts w:asciiTheme="minorHAnsi" w:hAnsiTheme="minorHAnsi" w:cstheme="minorHAnsi"/>
              </w:rPr>
              <w:t>EME(</w:t>
            </w:r>
            <w:r w:rsidRPr="008A1542">
              <w:rPr>
                <w:rFonts w:asciiTheme="minorHAnsi" w:hAnsiTheme="minorHAnsi" w:cstheme="minorHAnsi"/>
              </w:rPr>
              <w:t>Ay-Dünya-Ay</w:t>
            </w:r>
            <w:r>
              <w:rPr>
                <w:rFonts w:asciiTheme="minorHAnsi" w:hAnsiTheme="minorHAnsi" w:cstheme="minorHAnsi"/>
              </w:rPr>
              <w:t>)</w:t>
            </w:r>
            <w:r w:rsidRPr="008A1542">
              <w:rPr>
                <w:rFonts w:asciiTheme="minorHAnsi" w:hAnsiTheme="minorHAnsi" w:cstheme="minorHAnsi"/>
              </w:rPr>
              <w:t xml:space="preserve"> haberleşmesi için frekans değişikliği</w:t>
            </w:r>
            <w:r>
              <w:rPr>
                <w:rFonts w:asciiTheme="minorHAnsi" w:hAnsiTheme="minorHAnsi" w:cstheme="minorHAnsi"/>
              </w:rPr>
              <w:t>-ilavesi</w:t>
            </w:r>
            <w:r w:rsidRPr="008A1542">
              <w:rPr>
                <w:rFonts w:asciiTheme="minorHAnsi" w:hAnsiTheme="minorHAnsi" w:cstheme="minorHAnsi"/>
              </w:rPr>
              <w:t xml:space="preserve"> yapılması.</w:t>
            </w:r>
            <w:r>
              <w:rPr>
                <w:rFonts w:asciiTheme="minorHAnsi" w:hAnsiTheme="minorHAnsi" w:cstheme="minorHAnsi"/>
              </w:rPr>
              <w:br/>
              <w:t>A</w:t>
            </w:r>
            <w:r w:rsidR="008A1542" w:rsidRPr="008A1542">
              <w:rPr>
                <w:rFonts w:asciiTheme="minorHAnsi" w:hAnsiTheme="minorHAnsi" w:cstheme="minorHAnsi"/>
              </w:rPr>
              <w:t>matör banda açılması</w:t>
            </w:r>
            <w:r w:rsidR="00106B24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BBA9C" w14:textId="77777777" w:rsidR="008A1542" w:rsidRPr="00341BF8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</w:p>
          <w:p w14:paraId="0652A387" w14:textId="77777777" w:rsidR="00CF5F7A" w:rsidRPr="00341BF8" w:rsidRDefault="00236951" w:rsidP="00CF5F7A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10368-10369 MHz frekans bandının ilave edilmesi ve bu frekansın sadece EME (Ay-Dünya-Ay) haberleşmesinde kullanılmasının tabloya eklenmesi</w:t>
            </w:r>
            <w:r w:rsidR="00CF5F7A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.</w:t>
            </w:r>
          </w:p>
        </w:tc>
      </w:tr>
      <w:tr w:rsidR="008A1542" w:rsidRPr="008A1542" w14:paraId="22350FDA" w14:textId="77777777" w:rsidTr="002C4B60">
        <w:trPr>
          <w:trHeight w:val="360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9489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Tablo 25: Amatör telsiz cihaz ve sistemleri teknik ölçütleri</w:t>
            </w:r>
          </w:p>
          <w:p w14:paraId="4D7B333F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</w:p>
          <w:p w14:paraId="0A69CBE3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Tablo 26: Emisyon tipleri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6855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Ülkemizde de dünyanın geri kalanındaki gibi  diğer modülasyon tiplerinden daha fazla kullanılan Dijital Modülasyon tipleri (JT65/ FT8/FT4 gibi zayıf sinyal haberleşme tekonolojileri)</w:t>
            </w:r>
          </w:p>
          <w:p w14:paraId="25124671" w14:textId="77777777" w:rsidR="008A1542" w:rsidRPr="008A1542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 xml:space="preserve"> Tablo 26: Emisyon tipleri tablosunda ve  Tablo 25: Amatör telsiz cihaz ve sistemleri teknik ölçütleri  tablosunda yer almamaktadır.</w:t>
            </w:r>
          </w:p>
          <w:p w14:paraId="4925346B" w14:textId="77777777" w:rsidR="008A1542" w:rsidRPr="008A1542" w:rsidRDefault="008A1542" w:rsidP="00106B24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</w:rPr>
            </w:pPr>
            <w:r w:rsidRPr="008A1542">
              <w:rPr>
                <w:rFonts w:asciiTheme="minorHAnsi" w:hAnsiTheme="minorHAnsi" w:cstheme="minorHAnsi"/>
              </w:rPr>
              <w:t>Bu emisyon tiplerinin ilgili tablolara eklenmesi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BEC5" w14:textId="77777777" w:rsidR="008A1542" w:rsidRPr="00341BF8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hAnsiTheme="minorHAnsi" w:cstheme="minorHAnsi"/>
                <w:b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“</w:t>
            </w:r>
            <w:r w:rsidRPr="00341BF8">
              <w:rPr>
                <w:rFonts w:asciiTheme="minorHAnsi" w:hAnsiTheme="minorHAnsi" w:cstheme="minorHAnsi"/>
                <w:b/>
              </w:rPr>
              <w:t>J2D Genlik modülasyonlu, tek kenar band, taşıyıcı bastırılmış, modüle edici alt taşıyıcı kullanan, sayısal bilgi ihtiva eden tek kanallı data yayını. (3 kHz)</w:t>
            </w:r>
          </w:p>
          <w:p w14:paraId="6E9B537F" w14:textId="77777777" w:rsidR="008A1542" w:rsidRPr="00341BF8" w:rsidRDefault="008A1542" w:rsidP="00106B24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  <w:b/>
              </w:rPr>
            </w:pPr>
            <w:r w:rsidRPr="00341BF8">
              <w:rPr>
                <w:rFonts w:asciiTheme="minorHAnsi" w:hAnsiTheme="minorHAnsi" w:cstheme="minorHAnsi"/>
                <w:b/>
              </w:rPr>
              <w:t>A1D Genlik modülasyonlu, çift kenar band, modüle edici alt taşıyıcı kullanmayan, sayısal bilgi ihtiva eden tek kanallı data yayını (8kHz)</w:t>
            </w:r>
          </w:p>
          <w:p w14:paraId="57DF175C" w14:textId="77777777" w:rsidR="008A1542" w:rsidRPr="00341BF8" w:rsidRDefault="008A1542" w:rsidP="00106B24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  <w:b/>
              </w:rPr>
            </w:pPr>
            <w:r w:rsidRPr="00341BF8">
              <w:rPr>
                <w:rFonts w:asciiTheme="minorHAnsi" w:hAnsiTheme="minorHAnsi" w:cstheme="minorHAnsi"/>
                <w:b/>
              </w:rPr>
              <w:t>F1D Frekans modülasyonlu, modüle edici alt taşıyıcı kullanmayan sayısal bilgi ihtiva eden tek kanallı, data yayını (20  kHz)</w:t>
            </w:r>
          </w:p>
          <w:p w14:paraId="249017BD" w14:textId="77777777" w:rsidR="008A1542" w:rsidRPr="00341BF8" w:rsidRDefault="008A1542" w:rsidP="00106B24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  <w:b/>
              </w:rPr>
            </w:pPr>
            <w:r w:rsidRPr="00341BF8">
              <w:rPr>
                <w:rFonts w:asciiTheme="minorHAnsi" w:hAnsiTheme="minorHAnsi" w:cstheme="minorHAnsi"/>
                <w:b/>
              </w:rPr>
              <w:t xml:space="preserve">Ayrıca Tablo 25: Amatör telsiz cihaz ve sistemleri teknik ölçütleri  HF ve VHF band planına Emisyon tiplerine ilavesi” </w:t>
            </w:r>
          </w:p>
          <w:p w14:paraId="46EB760A" w14:textId="77777777" w:rsidR="008A1542" w:rsidRPr="00341BF8" w:rsidRDefault="008A1542" w:rsidP="00106B24">
            <w:pPr>
              <w:widowControl w:val="0"/>
              <w:overflowPunct w:val="0"/>
              <w:adjustRightInd w:val="0"/>
              <w:spacing w:after="0" w:line="240" w:lineRule="auto"/>
              <w:ind w:right="10"/>
              <w:rPr>
                <w:rFonts w:asciiTheme="minorHAnsi" w:hAnsiTheme="minorHAnsi" w:cstheme="minorHAnsi"/>
                <w:b/>
              </w:rPr>
            </w:pPr>
            <w:r w:rsidRPr="00341BF8">
              <w:rPr>
                <w:rFonts w:asciiTheme="minorHAnsi" w:hAnsiTheme="minorHAnsi" w:cstheme="minorHAnsi"/>
                <w:b/>
              </w:rPr>
              <w:t xml:space="preserve">Tavsiye edilmektedir. </w:t>
            </w:r>
          </w:p>
          <w:p w14:paraId="521C494E" w14:textId="77777777" w:rsidR="008A1542" w:rsidRPr="00341BF8" w:rsidRDefault="008A1542" w:rsidP="008A1542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</w:p>
        </w:tc>
      </w:tr>
      <w:tr w:rsidR="00106B24" w:rsidRPr="008A1542" w14:paraId="71BE6938" w14:textId="77777777" w:rsidTr="002C4B60">
        <w:trPr>
          <w:trHeight w:val="881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1DA" w14:textId="77777777" w:rsidR="00106B24" w:rsidRPr="00341BF8" w:rsidRDefault="00106B24" w:rsidP="00210BBA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Amatör telsiz cihazları uzun süredir HF, VHf ve UHF Bandlarında 100 wat olarak imal edilmektedir, 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>düşük güç kullanımı uygulama zorunluluğunun ko</w:t>
            </w:r>
            <w:r w:rsidR="002E369F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ntrolu mümkün değildir,</w:t>
            </w:r>
            <w:r w:rsidR="002E369F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  <w:t>75 Wat</w:t>
            </w:r>
            <w:r w:rsid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güç Çıkışlarının 100</w:t>
            </w:r>
            <w:r w:rsidR="00F1202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2E369F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Wat</w:t>
            </w:r>
            <w:r w:rsidR="00F12024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o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l</w:t>
            </w:r>
            <w:r w:rsidR="002E369F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arak düzeltilmesi gerçekçi olur.</w:t>
            </w:r>
            <w:r w:rsid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Tavsiyedir</w:t>
            </w:r>
            <w:r w:rsidR="002E369F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.</w:t>
            </w:r>
          </w:p>
        </w:tc>
      </w:tr>
      <w:tr w:rsidR="00106B24" w:rsidRPr="008A1542" w14:paraId="7BD8E8E8" w14:textId="77777777" w:rsidTr="002C4B60">
        <w:trPr>
          <w:trHeight w:val="1134"/>
        </w:trPr>
        <w:tc>
          <w:tcPr>
            <w:tcW w:w="14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814E" w14:textId="77777777" w:rsidR="00106B24" w:rsidRPr="00341BF8" w:rsidRDefault="002E369F" w:rsidP="00106B24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hAnsiTheme="minorHAnsi" w:cstheme="minorHAnsi"/>
                <w:b/>
              </w:rPr>
              <w:t xml:space="preserve">Tablo 25: Amatör telsiz cihaz ve sistemleri teknik ölçütleri </w:t>
            </w:r>
            <w:r w:rsidRPr="00341BF8">
              <w:rPr>
                <w:rFonts w:asciiTheme="minorHAnsi" w:hAnsiTheme="minorHAnsi" w:cstheme="minorHAnsi"/>
                <w:b/>
              </w:rPr>
              <w:br/>
            </w:r>
            <w:r w:rsidR="00341BF8">
              <w:rPr>
                <w:rFonts w:asciiTheme="minorHAnsi" w:hAnsiTheme="minorHAnsi" w:cstheme="minorHAnsi"/>
                <w:b/>
              </w:rPr>
              <w:t>(</w:t>
            </w:r>
            <w:r w:rsidR="00106B24" w:rsidRPr="00341BF8">
              <w:rPr>
                <w:rFonts w:asciiTheme="minorHAnsi" w:hAnsiTheme="minorHAnsi" w:cstheme="minorHAnsi"/>
                <w:b/>
              </w:rPr>
              <w:t>28MHz</w:t>
            </w:r>
            <w:r w:rsidR="00341BF8">
              <w:rPr>
                <w:rFonts w:asciiTheme="minorHAnsi" w:hAnsiTheme="minorHAnsi" w:cstheme="minorHAnsi"/>
                <w:b/>
              </w:rPr>
              <w:t xml:space="preserve"> </w:t>
            </w:r>
            <w:r w:rsidR="00106B24" w:rsidRPr="00341BF8">
              <w:rPr>
                <w:rFonts w:asciiTheme="minorHAnsi" w:hAnsiTheme="minorHAnsi" w:cstheme="minorHAnsi"/>
                <w:b/>
              </w:rPr>
              <w:t>10m</w:t>
            </w:r>
            <w:r w:rsidR="00341BF8">
              <w:rPr>
                <w:rFonts w:asciiTheme="minorHAnsi" w:hAnsiTheme="minorHAnsi" w:cstheme="minorHAnsi"/>
                <w:b/>
              </w:rPr>
              <w:t xml:space="preserve"> HF</w:t>
            </w:r>
            <w:r w:rsidR="00106B24" w:rsidRPr="00341BF8">
              <w:rPr>
                <w:rFonts w:asciiTheme="minorHAnsi" w:hAnsiTheme="minorHAnsi" w:cstheme="minorHAnsi"/>
                <w:b/>
              </w:rPr>
              <w:t xml:space="preserve">) </w:t>
            </w:r>
            <w:r w:rsidRPr="00341BF8">
              <w:rPr>
                <w:rFonts w:asciiTheme="minorHAnsi" w:hAnsiTheme="minorHAnsi" w:cstheme="minorHAnsi"/>
                <w:b/>
              </w:rPr>
              <w:t>–(</w:t>
            </w:r>
            <w:r w:rsidR="00106B24" w:rsidRPr="00341BF8">
              <w:rPr>
                <w:rFonts w:asciiTheme="minorHAnsi" w:hAnsiTheme="minorHAnsi" w:cstheme="minorHAnsi"/>
                <w:b/>
              </w:rPr>
              <w:t>50 MHz 6m</w:t>
            </w:r>
            <w:r w:rsidR="00341BF8">
              <w:rPr>
                <w:rFonts w:asciiTheme="minorHAnsi" w:hAnsiTheme="minorHAnsi" w:cstheme="minorHAnsi"/>
                <w:b/>
              </w:rPr>
              <w:t xml:space="preserve"> VHF</w:t>
            </w:r>
            <w:r w:rsidR="00106B24" w:rsidRPr="00341BF8">
              <w:rPr>
                <w:rFonts w:asciiTheme="minorHAnsi" w:hAnsiTheme="minorHAnsi" w:cstheme="minorHAnsi"/>
                <w:b/>
              </w:rPr>
              <w:t>)</w:t>
            </w:r>
            <w:r w:rsidRPr="00341BF8">
              <w:rPr>
                <w:rFonts w:asciiTheme="minorHAnsi" w:hAnsiTheme="minorHAnsi" w:cstheme="minorHAnsi"/>
                <w:b/>
              </w:rPr>
              <w:t xml:space="preserve">-( </w:t>
            </w:r>
            <w:r w:rsidR="00106B24" w:rsidRPr="00341BF8">
              <w:rPr>
                <w:rFonts w:asciiTheme="minorHAnsi" w:hAnsiTheme="minorHAnsi" w:cstheme="minorHAnsi"/>
                <w:b/>
              </w:rPr>
              <w:t>144 MHz /2m</w:t>
            </w:r>
            <w:r w:rsidR="00341BF8">
              <w:rPr>
                <w:rFonts w:asciiTheme="minorHAnsi" w:hAnsiTheme="minorHAnsi" w:cstheme="minorHAnsi"/>
                <w:b/>
              </w:rPr>
              <w:t xml:space="preserve"> VHF</w:t>
            </w:r>
            <w:r w:rsidR="00106B24" w:rsidRPr="00341BF8">
              <w:rPr>
                <w:rFonts w:asciiTheme="minorHAnsi" w:hAnsiTheme="minorHAnsi" w:cstheme="minorHAnsi"/>
                <w:b/>
              </w:rPr>
              <w:t xml:space="preserve">) </w:t>
            </w:r>
            <w:r w:rsidRPr="00341BF8">
              <w:rPr>
                <w:rFonts w:asciiTheme="minorHAnsi" w:hAnsiTheme="minorHAnsi" w:cstheme="minorHAnsi"/>
                <w:b/>
              </w:rPr>
              <w:t xml:space="preserve"> ve ( 430 MHz </w:t>
            </w:r>
            <w:r w:rsidR="00341BF8">
              <w:rPr>
                <w:rFonts w:asciiTheme="minorHAnsi" w:hAnsiTheme="minorHAnsi" w:cstheme="minorHAnsi"/>
                <w:b/>
              </w:rPr>
              <w:t xml:space="preserve">70cm </w:t>
            </w:r>
            <w:r w:rsidRPr="00341BF8">
              <w:rPr>
                <w:rFonts w:asciiTheme="minorHAnsi" w:hAnsiTheme="minorHAnsi" w:cstheme="minorHAnsi"/>
                <w:b/>
              </w:rPr>
              <w:t xml:space="preserve">UHF) </w:t>
            </w:r>
            <w:r w:rsidR="00106B24" w:rsidRPr="00341BF8">
              <w:rPr>
                <w:rFonts w:asciiTheme="minorHAnsi" w:hAnsiTheme="minorHAnsi" w:cstheme="minorHAnsi"/>
                <w:b/>
              </w:rPr>
              <w:t xml:space="preserve">Bandları için, </w:t>
            </w:r>
            <w:r w:rsidR="00106B24" w:rsidRPr="00341BF8">
              <w:rPr>
                <w:rFonts w:asciiTheme="minorHAnsi" w:hAnsiTheme="minorHAnsi" w:cstheme="minorHAnsi"/>
                <w:b/>
              </w:rPr>
              <w:br/>
            </w:r>
            <w:r w:rsidR="00106B24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frekanslarında  kullanılacak </w:t>
            </w:r>
            <w:r w:rsidR="002C4B60" w:rsidRPr="00341BF8">
              <w:rPr>
                <w:rFonts w:asciiTheme="minorHAnsi" w:hAnsiTheme="minorHAnsi" w:cstheme="minorHAnsi"/>
                <w:b/>
              </w:rPr>
              <w:t>uluslararası</w:t>
            </w:r>
            <w:r w:rsidR="002C4B60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106B24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Beacon’ların azami çıkış gücü  25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106B24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W</w:t>
            </w: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at </w:t>
            </w:r>
            <w:r w:rsidR="00106B24"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seviyesini geçmeyecektir.”</w:t>
            </w:r>
          </w:p>
          <w:p w14:paraId="51C13346" w14:textId="3FA37C7D" w:rsidR="0079248D" w:rsidRPr="00341BF8" w:rsidRDefault="00106B24" w:rsidP="00EB1FB3">
            <w:pPr>
              <w:widowControl w:val="0"/>
              <w:overflowPunct w:val="0"/>
              <w:adjustRightInd w:val="0"/>
              <w:spacing w:after="0" w:line="240" w:lineRule="auto"/>
              <w:ind w:right="10"/>
              <w:jc w:val="center"/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</w:pPr>
            <w:r w:rsidRPr="00341BF8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Açıklamasının tabloya eklenmesi tavsiye edilmektedir.</w:t>
            </w:r>
            <w:r w:rsidR="002C4B60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</w:t>
            </w:r>
            <w:r w:rsidR="00950EDD" w:rsidRPr="00950EDD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>Dünyadaki genel</w:t>
            </w:r>
            <w:r w:rsidR="00950EDD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t xml:space="preserve"> uygulama bu şekildedir.</w:t>
            </w:r>
            <w:r w:rsidR="00A63A3A">
              <w:rPr>
                <w:rFonts w:asciiTheme="minorHAnsi" w:eastAsia="Times New Roman" w:hAnsiTheme="minorHAnsi" w:cstheme="minorHAnsi"/>
                <w:b/>
                <w:spacing w:val="-2"/>
                <w:lang w:eastAsia="tr-TR"/>
              </w:rPr>
              <w:br/>
            </w:r>
          </w:p>
        </w:tc>
      </w:tr>
    </w:tbl>
    <w:p w14:paraId="4B6BFC60" w14:textId="77777777" w:rsidR="009F4A84" w:rsidRPr="008A1542" w:rsidRDefault="009F4A84" w:rsidP="009A62F3">
      <w:pPr>
        <w:rPr>
          <w:rFonts w:asciiTheme="minorHAnsi" w:hAnsiTheme="minorHAnsi" w:cstheme="minorHAnsi"/>
        </w:rPr>
      </w:pPr>
    </w:p>
    <w:sectPr w:rsidR="009F4A84" w:rsidRPr="008A1542" w:rsidSect="00B20F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7C8C"/>
    <w:multiLevelType w:val="hybridMultilevel"/>
    <w:tmpl w:val="72F6E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24190"/>
    <w:multiLevelType w:val="hybridMultilevel"/>
    <w:tmpl w:val="23105EA0"/>
    <w:lvl w:ilvl="0" w:tplc="93C4593E">
      <w:start w:val="4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F0185"/>
    <w:multiLevelType w:val="hybridMultilevel"/>
    <w:tmpl w:val="8B6650EC"/>
    <w:lvl w:ilvl="0" w:tplc="F9FCCD0A">
      <w:start w:val="6"/>
      <w:numFmt w:val="decimal"/>
      <w:lvlText w:val="%1."/>
      <w:lvlJc w:val="left"/>
      <w:pPr>
        <w:ind w:left="720" w:hanging="360"/>
      </w:pPr>
      <w:rPr>
        <w:rFonts w:hint="default"/>
        <w:strike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81BF0"/>
    <w:multiLevelType w:val="hybridMultilevel"/>
    <w:tmpl w:val="D9C63162"/>
    <w:lvl w:ilvl="0" w:tplc="041F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5192" w:hanging="360"/>
      </w:pPr>
    </w:lvl>
    <w:lvl w:ilvl="2" w:tplc="041F001B" w:tentative="1">
      <w:start w:val="1"/>
      <w:numFmt w:val="lowerRoman"/>
      <w:lvlText w:val="%3."/>
      <w:lvlJc w:val="right"/>
      <w:pPr>
        <w:ind w:left="5912" w:hanging="180"/>
      </w:pPr>
    </w:lvl>
    <w:lvl w:ilvl="3" w:tplc="041F000F" w:tentative="1">
      <w:start w:val="1"/>
      <w:numFmt w:val="decimal"/>
      <w:lvlText w:val="%4."/>
      <w:lvlJc w:val="left"/>
      <w:pPr>
        <w:ind w:left="6632" w:hanging="360"/>
      </w:pPr>
    </w:lvl>
    <w:lvl w:ilvl="4" w:tplc="041F0019" w:tentative="1">
      <w:start w:val="1"/>
      <w:numFmt w:val="lowerLetter"/>
      <w:lvlText w:val="%5."/>
      <w:lvlJc w:val="left"/>
      <w:pPr>
        <w:ind w:left="7352" w:hanging="360"/>
      </w:pPr>
    </w:lvl>
    <w:lvl w:ilvl="5" w:tplc="041F001B" w:tentative="1">
      <w:start w:val="1"/>
      <w:numFmt w:val="lowerRoman"/>
      <w:lvlText w:val="%6."/>
      <w:lvlJc w:val="right"/>
      <w:pPr>
        <w:ind w:left="8072" w:hanging="180"/>
      </w:pPr>
    </w:lvl>
    <w:lvl w:ilvl="6" w:tplc="041F000F" w:tentative="1">
      <w:start w:val="1"/>
      <w:numFmt w:val="decimal"/>
      <w:lvlText w:val="%7."/>
      <w:lvlJc w:val="left"/>
      <w:pPr>
        <w:ind w:left="8792" w:hanging="360"/>
      </w:pPr>
    </w:lvl>
    <w:lvl w:ilvl="7" w:tplc="041F0019" w:tentative="1">
      <w:start w:val="1"/>
      <w:numFmt w:val="lowerLetter"/>
      <w:lvlText w:val="%8."/>
      <w:lvlJc w:val="left"/>
      <w:pPr>
        <w:ind w:left="9512" w:hanging="360"/>
      </w:pPr>
    </w:lvl>
    <w:lvl w:ilvl="8" w:tplc="041F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4" w15:restartNumberingAfterBreak="0">
    <w:nsid w:val="0FFA2D35"/>
    <w:multiLevelType w:val="hybridMultilevel"/>
    <w:tmpl w:val="AFB2F43C"/>
    <w:lvl w:ilvl="0" w:tplc="041F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D5D59"/>
    <w:multiLevelType w:val="hybridMultilevel"/>
    <w:tmpl w:val="0010B87C"/>
    <w:lvl w:ilvl="0" w:tplc="041F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87EED"/>
    <w:multiLevelType w:val="hybridMultilevel"/>
    <w:tmpl w:val="3C4EF368"/>
    <w:lvl w:ilvl="0" w:tplc="A0F0C370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A216E"/>
    <w:multiLevelType w:val="hybridMultilevel"/>
    <w:tmpl w:val="3C4EF368"/>
    <w:lvl w:ilvl="0" w:tplc="A0F0C370">
      <w:start w:val="6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5B3380"/>
    <w:multiLevelType w:val="hybridMultilevel"/>
    <w:tmpl w:val="4162D8BC"/>
    <w:lvl w:ilvl="0" w:tplc="BDC22FC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DAF7536"/>
    <w:multiLevelType w:val="hybridMultilevel"/>
    <w:tmpl w:val="D9C6316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F26"/>
    <w:rsid w:val="000013DA"/>
    <w:rsid w:val="00001420"/>
    <w:rsid w:val="00047E5B"/>
    <w:rsid w:val="00062297"/>
    <w:rsid w:val="000F457B"/>
    <w:rsid w:val="00100D65"/>
    <w:rsid w:val="00106B24"/>
    <w:rsid w:val="00142A33"/>
    <w:rsid w:val="00176674"/>
    <w:rsid w:val="001E0E2E"/>
    <w:rsid w:val="001E5812"/>
    <w:rsid w:val="001E68A4"/>
    <w:rsid w:val="001F0808"/>
    <w:rsid w:val="00210BBA"/>
    <w:rsid w:val="00223AA7"/>
    <w:rsid w:val="00236951"/>
    <w:rsid w:val="0024263B"/>
    <w:rsid w:val="002A5F03"/>
    <w:rsid w:val="002A6A76"/>
    <w:rsid w:val="002C4B60"/>
    <w:rsid w:val="002E369F"/>
    <w:rsid w:val="00304A75"/>
    <w:rsid w:val="00341BF8"/>
    <w:rsid w:val="003A151A"/>
    <w:rsid w:val="003B3246"/>
    <w:rsid w:val="003C7720"/>
    <w:rsid w:val="003D16B6"/>
    <w:rsid w:val="003D7B18"/>
    <w:rsid w:val="00400A13"/>
    <w:rsid w:val="00411C2B"/>
    <w:rsid w:val="004415E8"/>
    <w:rsid w:val="00442ACD"/>
    <w:rsid w:val="00474FAA"/>
    <w:rsid w:val="00490642"/>
    <w:rsid w:val="004B4DF0"/>
    <w:rsid w:val="004D0488"/>
    <w:rsid w:val="004F2624"/>
    <w:rsid w:val="005141F8"/>
    <w:rsid w:val="00516D73"/>
    <w:rsid w:val="006048E7"/>
    <w:rsid w:val="0062097C"/>
    <w:rsid w:val="0065592F"/>
    <w:rsid w:val="00677308"/>
    <w:rsid w:val="006E6EC9"/>
    <w:rsid w:val="006F7D65"/>
    <w:rsid w:val="00721DDD"/>
    <w:rsid w:val="007446AF"/>
    <w:rsid w:val="0079248D"/>
    <w:rsid w:val="007A1326"/>
    <w:rsid w:val="007C0C48"/>
    <w:rsid w:val="008220E6"/>
    <w:rsid w:val="00847535"/>
    <w:rsid w:val="008679A8"/>
    <w:rsid w:val="008761EF"/>
    <w:rsid w:val="00886437"/>
    <w:rsid w:val="008A03DB"/>
    <w:rsid w:val="008A1542"/>
    <w:rsid w:val="008B524C"/>
    <w:rsid w:val="00916B65"/>
    <w:rsid w:val="0093044B"/>
    <w:rsid w:val="00950EDD"/>
    <w:rsid w:val="00966601"/>
    <w:rsid w:val="0096719A"/>
    <w:rsid w:val="009A62F3"/>
    <w:rsid w:val="009C033D"/>
    <w:rsid w:val="009C795B"/>
    <w:rsid w:val="009F4A84"/>
    <w:rsid w:val="00A07B66"/>
    <w:rsid w:val="00A346F4"/>
    <w:rsid w:val="00A356E6"/>
    <w:rsid w:val="00A63A3A"/>
    <w:rsid w:val="00A82F24"/>
    <w:rsid w:val="00AD7CCE"/>
    <w:rsid w:val="00B00E96"/>
    <w:rsid w:val="00B2075A"/>
    <w:rsid w:val="00B20F26"/>
    <w:rsid w:val="00B241CA"/>
    <w:rsid w:val="00B648E7"/>
    <w:rsid w:val="00BC08B9"/>
    <w:rsid w:val="00BC2B8E"/>
    <w:rsid w:val="00BD36AA"/>
    <w:rsid w:val="00C54C67"/>
    <w:rsid w:val="00C61FA8"/>
    <w:rsid w:val="00C9014C"/>
    <w:rsid w:val="00CA2B06"/>
    <w:rsid w:val="00CC1571"/>
    <w:rsid w:val="00CF5F7A"/>
    <w:rsid w:val="00D03634"/>
    <w:rsid w:val="00D33FA0"/>
    <w:rsid w:val="00D4232A"/>
    <w:rsid w:val="00D45891"/>
    <w:rsid w:val="00D55C22"/>
    <w:rsid w:val="00E01DDE"/>
    <w:rsid w:val="00E07DA4"/>
    <w:rsid w:val="00E129E1"/>
    <w:rsid w:val="00E25E66"/>
    <w:rsid w:val="00E60857"/>
    <w:rsid w:val="00E6132A"/>
    <w:rsid w:val="00E70DAB"/>
    <w:rsid w:val="00E953B8"/>
    <w:rsid w:val="00EB1FB3"/>
    <w:rsid w:val="00EC499A"/>
    <w:rsid w:val="00EF6387"/>
    <w:rsid w:val="00F0461F"/>
    <w:rsid w:val="00F10D56"/>
    <w:rsid w:val="00F12024"/>
    <w:rsid w:val="00F36542"/>
    <w:rsid w:val="00F377BB"/>
    <w:rsid w:val="00F857AF"/>
    <w:rsid w:val="00FB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2F7BD"/>
  <w15:docId w15:val="{89656A3A-CA18-4DED-96E9-EDA6D5838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F26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0F26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F3654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3654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36542"/>
    <w:rPr>
      <w:rFonts w:ascii="Calibri" w:eastAsia="Calibri" w:hAnsi="Calibri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654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2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BTK</Company>
  <LinksUpToDate>false</LinksUpToDate>
  <CharactersWithSpaces>8039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 TAŞKIN</dc:creator>
  <cp:keywords>BTK</cp:keywords>
  <cp:lastModifiedBy>Kaan Çalışkan</cp:lastModifiedBy>
  <cp:revision>3</cp:revision>
  <dcterms:created xsi:type="dcterms:W3CDTF">2021-04-19T06:12:00Z</dcterms:created>
  <dcterms:modified xsi:type="dcterms:W3CDTF">2021-04-19T06:17:00Z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000963c4-b10f-419a-9a55-3d6485fb4d58</vt:lpwstr>
  </property>
  <property fmtid="{D5CDD505-2E9C-101B-9397-08002B2CF9AE}" pid="3" name="TurkcellTURKCELL CLASSIFICATION">
    <vt:lpwstr>TURKCELL GENEL</vt:lpwstr>
  </property>
</Properties>
</file>